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9666" w14:textId="52697EB5" w:rsidR="00377568" w:rsidRPr="00A1798F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b/>
          <w:bCs/>
          <w:lang w:val="it-IT"/>
        </w:rPr>
      </w:pPr>
      <w:r>
        <w:rPr>
          <w:b/>
          <w:bCs/>
          <w:lang w:val="it-IT"/>
        </w:rPr>
        <w:t>I</w:t>
      </w:r>
      <w:r w:rsidRPr="00A1798F">
        <w:rPr>
          <w:b/>
          <w:bCs/>
          <w:lang w:val="it-IT"/>
        </w:rPr>
        <w:t>nformativa sulla procedura reclami ai sensi dell’art. 10-decies del Regolamento ISVAP n. 24/2008</w:t>
      </w:r>
    </w:p>
    <w:p w14:paraId="7EBB9B32" w14:textId="77777777" w:rsid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</w:p>
    <w:p w14:paraId="7E3DCCB0" w14:textId="77777777" w:rsid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A1798F">
        <w:rPr>
          <w:lang w:val="it-IT"/>
        </w:rPr>
        <w:t xml:space="preserve">Gentile Cliente, </w:t>
      </w:r>
    </w:p>
    <w:p w14:paraId="23E28223" w14:textId="4304E9BB" w:rsid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color w:val="auto"/>
          <w:lang w:val="it-IT"/>
        </w:rPr>
        <w:t>Banca Territori del Monviso</w:t>
      </w:r>
      <w:r w:rsidRPr="009972E8">
        <w:rPr>
          <w:color w:val="auto"/>
          <w:lang w:val="it-IT"/>
        </w:rPr>
        <w:t xml:space="preserve"> </w:t>
      </w:r>
      <w:r w:rsidRPr="00A1798F">
        <w:rPr>
          <w:lang w:val="it-IT"/>
        </w:rPr>
        <w:t xml:space="preserve">(di seguito la “Banca”) desidera informarLa, in ottemperanza a quanto previsto dall’art. </w:t>
      </w:r>
      <w:r>
        <w:rPr>
          <w:lang w:val="it-IT"/>
        </w:rPr>
        <w:t xml:space="preserve">10-decies del Regolamento ISVAP n. 24/2008 </w:t>
      </w:r>
      <w:r w:rsidRPr="008A2645">
        <w:rPr>
          <w:lang w:val="it-IT"/>
        </w:rPr>
        <w:t>e successive modificazioni e integrazioni</w:t>
      </w:r>
      <w:r>
        <w:rPr>
          <w:lang w:val="it-IT"/>
        </w:rPr>
        <w:t>, in merito alla gestione dei reclami.</w:t>
      </w:r>
    </w:p>
    <w:p w14:paraId="43A7387B" w14:textId="77777777" w:rsid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</w:p>
    <w:p w14:paraId="012E9044" w14:textId="77777777" w:rsid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>
        <w:rPr>
          <w:lang w:val="it-IT"/>
        </w:rPr>
        <w:t>I reclami inerenti all’attività di distribuzione assicurativa potranno essere presentati:</w:t>
      </w:r>
    </w:p>
    <w:p w14:paraId="183DC1D1" w14:textId="77777777" w:rsidR="00377568" w:rsidRPr="00A1798F" w:rsidRDefault="00377568" w:rsidP="00377568">
      <w:pPr>
        <w:pStyle w:val="Paragrafoelenco"/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</w:pPr>
      <w:r w:rsidRPr="00A1798F">
        <w:t>all’Ufficio reclami della Banca ai seguenti indirizzi:</w:t>
      </w:r>
    </w:p>
    <w:p w14:paraId="7B1FCD95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UFFICIO RECLAMI Banca Territori del Monviso</w:t>
      </w:r>
    </w:p>
    <w:p w14:paraId="0E1EBC1A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Via Chieri 31/39 – 10022 Carmagnola (TO) –</w:t>
      </w:r>
    </w:p>
    <w:p w14:paraId="4C22E55F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tel. 011.9730073</w:t>
      </w:r>
    </w:p>
    <w:p w14:paraId="71C642A1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fax 011.9730163</w:t>
      </w:r>
    </w:p>
    <w:p w14:paraId="5DF70183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posta elettronica: legale@bancabtm.it</w:t>
      </w:r>
    </w:p>
    <w:p w14:paraId="6801F580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  <w:r w:rsidRPr="00377568">
        <w:rPr>
          <w:lang w:val="it-IT"/>
        </w:rPr>
        <w:t>posta elettronica certificata: legale@pec.bancabtm.it</w:t>
      </w:r>
    </w:p>
    <w:p w14:paraId="2E341375" w14:textId="77777777" w:rsidR="00377568" w:rsidRPr="00377568" w:rsidRDefault="00377568" w:rsidP="003775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</w:p>
    <w:p w14:paraId="7EB63AC4" w14:textId="77777777" w:rsidR="00377568" w:rsidRDefault="00377568" w:rsidP="00377568">
      <w:pPr>
        <w:pStyle w:val="Paragrafoelenco"/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</w:pPr>
      <w:r>
        <w:t xml:space="preserve">all’impresa assicurativa, laddove la </w:t>
      </w:r>
      <w:r w:rsidRPr="00416FA7">
        <w:t xml:space="preserve">contestazione oggetto del reclamo sia relativa ad una condotta di quest’ultima </w:t>
      </w:r>
      <w:r w:rsidRPr="00224F6C">
        <w:t xml:space="preserve">o </w:t>
      </w:r>
      <w:r w:rsidRPr="007C79A8">
        <w:t>alla</w:t>
      </w:r>
      <w:r w:rsidRPr="00224F6C">
        <w:t xml:space="preserve"> polizza </w:t>
      </w:r>
      <w:r w:rsidRPr="007C79A8">
        <w:t>assicurativa</w:t>
      </w:r>
      <w:r>
        <w:t xml:space="preserve">, ai recapiti dell’ufficio reclami della stessa indicati nella documentazione </w:t>
      </w:r>
      <w:proofErr w:type="spellStart"/>
      <w:r>
        <w:t>pre</w:t>
      </w:r>
      <w:proofErr w:type="spellEnd"/>
      <w:r>
        <w:t xml:space="preserve">-contrattuale nonché nei DIP aggiuntivi consegnati prima della sottoscrizione del contratto assicurativo a cui la contestazione si riferisce. </w:t>
      </w:r>
    </w:p>
    <w:p w14:paraId="1A900F8C" w14:textId="70A838E3" w:rsidR="00377568" w:rsidRDefault="00377568" w:rsidP="000D24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before="120" w:after="0" w:line="240" w:lineRule="auto"/>
        <w:rPr>
          <w:lang w:val="it-IT"/>
        </w:rPr>
      </w:pPr>
      <w:r>
        <w:rPr>
          <w:lang w:val="it-IT"/>
        </w:rPr>
        <w:t xml:space="preserve">Il riscontro ai reclami inerenti all’attività di distribuzione assicurativa dovrà essere </w:t>
      </w:r>
      <w:proofErr w:type="spellStart"/>
      <w:r>
        <w:rPr>
          <w:lang w:val="it-IT"/>
        </w:rPr>
        <w:t>inviato</w:t>
      </w:r>
      <w:proofErr w:type="spellEnd"/>
      <w:r>
        <w:rPr>
          <w:lang w:val="it-IT"/>
        </w:rPr>
        <w:t xml:space="preserve"> </w:t>
      </w:r>
      <w:r w:rsidRPr="00A1798F">
        <w:rPr>
          <w:lang w:val="it-IT"/>
        </w:rPr>
        <w:t>entro 45 giorni dal riceviment</w:t>
      </w:r>
      <w:r>
        <w:rPr>
          <w:lang w:val="it-IT"/>
        </w:rPr>
        <w:t>o da parte del soggetto competente.</w:t>
      </w:r>
    </w:p>
    <w:p w14:paraId="60526FA4" w14:textId="77777777" w:rsidR="00377568" w:rsidRPr="00C914AB" w:rsidRDefault="00377568" w:rsidP="000D24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before="120" w:after="0" w:line="240" w:lineRule="auto"/>
        <w:rPr>
          <w:lang w:val="it-IT"/>
        </w:rPr>
      </w:pPr>
      <w:r>
        <w:rPr>
          <w:lang w:val="it-IT"/>
        </w:rPr>
        <w:t>Qualora</w:t>
      </w:r>
      <w:r w:rsidRPr="00396CE7">
        <w:rPr>
          <w:lang w:val="it-IT"/>
        </w:rPr>
        <w:t xml:space="preserve"> non </w:t>
      </w:r>
      <w:r>
        <w:rPr>
          <w:lang w:val="it-IT"/>
        </w:rPr>
        <w:t xml:space="preserve">si ritenga </w:t>
      </w:r>
      <w:r w:rsidRPr="00396CE7">
        <w:rPr>
          <w:lang w:val="it-IT"/>
        </w:rPr>
        <w:t xml:space="preserve">soddisfatto </w:t>
      </w:r>
      <w:r>
        <w:rPr>
          <w:lang w:val="it-IT"/>
        </w:rPr>
        <w:t xml:space="preserve">del riscontro </w:t>
      </w:r>
      <w:r w:rsidRPr="00396CE7">
        <w:rPr>
          <w:lang w:val="it-IT"/>
        </w:rPr>
        <w:t xml:space="preserve">o non </w:t>
      </w:r>
      <w:r>
        <w:rPr>
          <w:lang w:val="it-IT"/>
        </w:rPr>
        <w:t xml:space="preserve">abbia </w:t>
      </w:r>
      <w:r w:rsidRPr="00396CE7">
        <w:rPr>
          <w:lang w:val="it-IT"/>
        </w:rPr>
        <w:t>ricevuto risposta entro i termini previsti, prima di ricorrere al giudice,</w:t>
      </w:r>
      <w:r>
        <w:rPr>
          <w:lang w:val="it-IT"/>
        </w:rPr>
        <w:t xml:space="preserve"> può rivolgersi </w:t>
      </w:r>
      <w:r w:rsidRPr="00C914AB">
        <w:rPr>
          <w:lang w:val="it-IT"/>
        </w:rPr>
        <w:t>a uno dei seguenti soggetti:</w:t>
      </w:r>
    </w:p>
    <w:p w14:paraId="568F1803" w14:textId="77777777" w:rsidR="00377568" w:rsidRDefault="00377568" w:rsidP="000D24B2">
      <w:pPr>
        <w:pStyle w:val="Paragrafoelenco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before="60" w:after="0" w:line="240" w:lineRule="auto"/>
        <w:ind w:left="714" w:hanging="357"/>
      </w:pPr>
      <w:r w:rsidRPr="00396CE7">
        <w:t>Istituto per la Vigilanza sulle Assicurazioni (IVASS). Per sapere come rivolgersi all’IVASS può consultare il sito </w:t>
      </w:r>
      <w:r>
        <w:t xml:space="preserve"> </w:t>
      </w:r>
      <w:hyperlink r:id="rId8" w:history="1">
        <w:r w:rsidRPr="00F70951">
          <w:rPr>
            <w:rStyle w:val="Collegamentoipertestuale"/>
          </w:rPr>
          <w:t>www.ivass.it</w:t>
        </w:r>
      </w:hyperlink>
      <w:r w:rsidRPr="00396CE7">
        <w:t xml:space="preserve"> La decisione dell’IVASS non pregiudica </w:t>
      </w:r>
      <w:r>
        <w:t xml:space="preserve">in ogni caso </w:t>
      </w:r>
      <w:r w:rsidRPr="00396CE7">
        <w:t>la possibilità per il cliente di ricorrere all’autorità giudiziaria ordinaria;</w:t>
      </w:r>
    </w:p>
    <w:p w14:paraId="6D223BD4" w14:textId="77777777" w:rsidR="00377568" w:rsidRDefault="00377568" w:rsidP="000D24B2">
      <w:pPr>
        <w:pStyle w:val="Paragrafoelenco"/>
        <w:numPr>
          <w:ilvl w:val="0"/>
          <w:numId w:val="21"/>
        </w:numPr>
        <w:tabs>
          <w:tab w:val="clear" w:pos="567"/>
          <w:tab w:val="clear" w:pos="1134"/>
          <w:tab w:val="left" w:pos="1418"/>
        </w:tabs>
        <w:spacing w:before="60" w:after="0" w:line="240" w:lineRule="auto"/>
        <w:ind w:left="714" w:hanging="357"/>
        <w:contextualSpacing w:val="0"/>
      </w:pPr>
      <w:r w:rsidRPr="005D39EE">
        <w:t>Commissione nazionale per le società e la Borsa</w:t>
      </w:r>
      <w:r>
        <w:t xml:space="preserve"> (Consob)</w:t>
      </w:r>
      <w:r w:rsidRPr="005D39EE">
        <w:t>.</w:t>
      </w:r>
      <w:r w:rsidRPr="005D39EE">
        <w:br/>
        <w:t>Per reclami concernenti l’accertamento dell’osservanza delle disposizioni del Testo unico dell’intermediazione finanziaria e delle relative norme di attuazione disciplinanti la corretta redazione del KID e la distribuzione di prodotti di investimento assicurativo (</w:t>
      </w:r>
      <w:proofErr w:type="spellStart"/>
      <w:r w:rsidRPr="005D39EE">
        <w:t>IBIPs</w:t>
      </w:r>
      <w:proofErr w:type="spellEnd"/>
      <w:r w:rsidRPr="005D39EE">
        <w:t xml:space="preserve">) da parte dei soggetti abilitati alla distribuzione assicurativa di cui all’articolo 1, lettera w-bis), del TUF (Decreto Legislativo 24 febbraio 1998, n. 58 - Testo unico delle disposizioni in materia di intermediazione finanziaria), cioè iscritti nella sezione D del RUI. </w:t>
      </w:r>
      <w:r>
        <w:t xml:space="preserve">Per sapere come rivolgersi alla CONSOB può consultare il sito </w:t>
      </w:r>
      <w:hyperlink r:id="rId9" w:history="1">
        <w:r w:rsidRPr="008A36C2">
          <w:rPr>
            <w:rStyle w:val="Collegamentoipertestuale"/>
          </w:rPr>
          <w:t>www.consob.it</w:t>
        </w:r>
      </w:hyperlink>
      <w:r>
        <w:t xml:space="preserve"> </w:t>
      </w:r>
    </w:p>
    <w:p w14:paraId="1A8FC1AC" w14:textId="14FB743C" w:rsidR="00377568" w:rsidRPr="000D24B2" w:rsidRDefault="00377568" w:rsidP="000D24B2">
      <w:pPr>
        <w:pStyle w:val="Paragrafoelenco"/>
        <w:numPr>
          <w:ilvl w:val="0"/>
          <w:numId w:val="21"/>
        </w:numPr>
        <w:tabs>
          <w:tab w:val="clear" w:pos="567"/>
          <w:tab w:val="clear" w:pos="1134"/>
          <w:tab w:val="left" w:pos="1418"/>
        </w:tabs>
        <w:spacing w:before="60" w:after="0" w:line="240" w:lineRule="auto"/>
        <w:ind w:left="714" w:hanging="357"/>
        <w:contextualSpacing w:val="0"/>
        <w:rPr>
          <w:rStyle w:val="Collegamentoipertestuale"/>
          <w:rFonts w:eastAsiaTheme="minorEastAsia"/>
          <w:color w:val="000000" w:themeColor="text1"/>
          <w:u w:val="none"/>
        </w:rPr>
      </w:pPr>
      <w:r w:rsidRPr="00F26CAD">
        <w:t xml:space="preserve">Commissione di vigilanza sui </w:t>
      </w:r>
      <w:proofErr w:type="spellStart"/>
      <w:r w:rsidRPr="00F26CAD">
        <w:t>fondi</w:t>
      </w:r>
      <w:proofErr w:type="spellEnd"/>
      <w:r w:rsidRPr="00F26CAD">
        <w:t xml:space="preserve"> pensione </w:t>
      </w:r>
      <w:r>
        <w:t xml:space="preserve">(COVIP) per </w:t>
      </w:r>
      <w:proofErr w:type="spellStart"/>
      <w:r>
        <w:t>i</w:t>
      </w:r>
      <w:proofErr w:type="spellEnd"/>
      <w:r>
        <w:t xml:space="preserve"> </w:t>
      </w:r>
      <w:proofErr w:type="spellStart"/>
      <w:r w:rsidRPr="00F26CAD">
        <w:t>Reclami</w:t>
      </w:r>
      <w:proofErr w:type="spellEnd"/>
      <w:r w:rsidRPr="00F26CAD">
        <w:t xml:space="preserve"> </w:t>
      </w:r>
      <w:proofErr w:type="spellStart"/>
      <w:r w:rsidRPr="00F26CAD">
        <w:t>relativi</w:t>
      </w:r>
      <w:proofErr w:type="spellEnd"/>
      <w:r w:rsidRPr="00F26CAD">
        <w:t xml:space="preserve"> a </w:t>
      </w:r>
      <w:proofErr w:type="spellStart"/>
      <w:r w:rsidRPr="00F26CAD">
        <w:t>Forme</w:t>
      </w:r>
      <w:proofErr w:type="spellEnd"/>
      <w:r w:rsidRPr="00F26CAD">
        <w:t xml:space="preserve"> </w:t>
      </w:r>
      <w:proofErr w:type="spellStart"/>
      <w:r w:rsidRPr="00F26CAD">
        <w:t>pensionistiche</w:t>
      </w:r>
      <w:proofErr w:type="spellEnd"/>
      <w:r w:rsidRPr="00F26CAD">
        <w:t xml:space="preserve"> </w:t>
      </w:r>
      <w:proofErr w:type="spellStart"/>
      <w:r w:rsidRPr="00F26CAD">
        <w:t>complementari</w:t>
      </w:r>
      <w:proofErr w:type="spellEnd"/>
      <w:r w:rsidRPr="00F26CAD">
        <w:t xml:space="preserve"> (PIP e </w:t>
      </w:r>
      <w:proofErr w:type="spellStart"/>
      <w:r w:rsidRPr="00F26CAD">
        <w:t>Fondi</w:t>
      </w:r>
      <w:proofErr w:type="spellEnd"/>
      <w:r w:rsidRPr="00F26CAD">
        <w:t xml:space="preserve"> pensione </w:t>
      </w:r>
      <w:proofErr w:type="spellStart"/>
      <w:r w:rsidRPr="00F26CAD">
        <w:t>aperti</w:t>
      </w:r>
      <w:proofErr w:type="spellEnd"/>
      <w:r w:rsidRPr="00F26CAD">
        <w:t>)</w:t>
      </w:r>
      <w:r>
        <w:t xml:space="preserve">, </w:t>
      </w:r>
      <w:proofErr w:type="spellStart"/>
      <w:r>
        <w:t>scrivendo</w:t>
      </w:r>
      <w:proofErr w:type="spellEnd"/>
      <w:r>
        <w:t xml:space="preserve"> a C</w:t>
      </w:r>
      <w:r w:rsidRPr="00F26CAD">
        <w:t xml:space="preserve">OVIP - </w:t>
      </w:r>
      <w:proofErr w:type="spellStart"/>
      <w:r w:rsidRPr="00F26CAD">
        <w:t>Commissione</w:t>
      </w:r>
      <w:proofErr w:type="spellEnd"/>
      <w:r w:rsidRPr="00F26CAD">
        <w:t xml:space="preserve"> di </w:t>
      </w:r>
      <w:proofErr w:type="spellStart"/>
      <w:r w:rsidRPr="00F26CAD">
        <w:t>vigilanza</w:t>
      </w:r>
      <w:proofErr w:type="spellEnd"/>
      <w:r w:rsidRPr="00F26CAD">
        <w:t xml:space="preserve"> sui </w:t>
      </w:r>
      <w:proofErr w:type="spellStart"/>
      <w:r w:rsidRPr="00F26CAD">
        <w:t>fondi</w:t>
      </w:r>
      <w:proofErr w:type="spellEnd"/>
      <w:r w:rsidRPr="00F26CAD">
        <w:t xml:space="preserve"> pensione - Piazza Augusto </w:t>
      </w:r>
      <w:proofErr w:type="spellStart"/>
      <w:r w:rsidRPr="00F26CAD">
        <w:t>Imperatore</w:t>
      </w:r>
      <w:proofErr w:type="spellEnd"/>
      <w:r w:rsidRPr="00F26CAD">
        <w:t xml:space="preserve">, 27 – 00186 Roma. </w:t>
      </w:r>
      <w:r>
        <w:t xml:space="preserve">Per </w:t>
      </w:r>
      <w:proofErr w:type="spellStart"/>
      <w:r>
        <w:t>sapere</w:t>
      </w:r>
      <w:proofErr w:type="spellEnd"/>
      <w:r>
        <w:t xml:space="preserve"> come </w:t>
      </w:r>
      <w:proofErr w:type="spellStart"/>
      <w:r>
        <w:t>rivolgersi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COVIP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t xml:space="preserve"> il </w:t>
      </w:r>
      <w:proofErr w:type="spellStart"/>
      <w:r>
        <w:t>sito</w:t>
      </w:r>
      <w:proofErr w:type="spellEnd"/>
      <w:r>
        <w:t xml:space="preserve"> </w:t>
      </w:r>
      <w:hyperlink r:id="rId10" w:history="1">
        <w:r w:rsidRPr="008A36C2">
          <w:rPr>
            <w:rStyle w:val="Collegamentoipertestuale"/>
          </w:rPr>
          <w:t>www.covip.it</w:t>
        </w:r>
      </w:hyperlink>
    </w:p>
    <w:p w14:paraId="7E39119C" w14:textId="77777777" w:rsidR="000D24B2" w:rsidRPr="00396CE7" w:rsidRDefault="000D24B2" w:rsidP="000D24B2">
      <w:pPr>
        <w:pStyle w:val="Paragrafoelenco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before="60" w:after="0" w:line="240" w:lineRule="auto"/>
        <w:ind w:left="714" w:hanging="357"/>
        <w:contextualSpacing w:val="0"/>
      </w:pPr>
      <w:r w:rsidRPr="00396CE7">
        <w:t>altro organismo specializzato iscritto nell'apposito registro tenuto dal Ministero della Giustizia (disponibile sul sito </w:t>
      </w:r>
      <w:hyperlink r:id="rId11" w:tgtFrame="_blank" w:history="1">
        <w:r w:rsidRPr="00396CE7">
          <w:t>www.giustizia.it</w:t>
        </w:r>
      </w:hyperlink>
      <w:r w:rsidRPr="00396CE7">
        <w:t>).</w:t>
      </w:r>
    </w:p>
    <w:p w14:paraId="6E658614" w14:textId="77777777" w:rsidR="000D24B2" w:rsidRDefault="000D24B2" w:rsidP="000D24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after="0" w:line="240" w:lineRule="auto"/>
        <w:rPr>
          <w:lang w:val="it-IT"/>
        </w:rPr>
      </w:pPr>
    </w:p>
    <w:p w14:paraId="47D5A992" w14:textId="77777777" w:rsidR="000D24B2" w:rsidRPr="005D39EE" w:rsidRDefault="000D24B2" w:rsidP="000D24B2">
      <w:pPr>
        <w:pStyle w:val="Testocommento"/>
        <w:rPr>
          <w:i/>
          <w:iCs/>
          <w:sz w:val="22"/>
          <w:szCs w:val="22"/>
          <w:lang w:val="it-IT"/>
        </w:rPr>
      </w:pPr>
      <w:r w:rsidRPr="005D39EE">
        <w:rPr>
          <w:i/>
          <w:iCs/>
          <w:sz w:val="22"/>
          <w:szCs w:val="22"/>
          <w:lang w:val="it-IT"/>
        </w:rPr>
        <w:lastRenderedPageBreak/>
        <w:t xml:space="preserve">Si ricorda che ai sensi dell’art. 5, comma 1 bis </w:t>
      </w:r>
      <w:proofErr w:type="spellStart"/>
      <w:r w:rsidRPr="005D39EE">
        <w:rPr>
          <w:i/>
          <w:iCs/>
          <w:sz w:val="22"/>
          <w:szCs w:val="22"/>
          <w:lang w:val="it-IT"/>
        </w:rPr>
        <w:t>D.Lgs.</w:t>
      </w:r>
      <w:proofErr w:type="spellEnd"/>
      <w:r w:rsidRPr="005D39EE">
        <w:rPr>
          <w:i/>
          <w:iCs/>
          <w:sz w:val="22"/>
          <w:szCs w:val="22"/>
          <w:lang w:val="it-IT"/>
        </w:rPr>
        <w:t xml:space="preserve"> 28/2010 </w:t>
      </w:r>
      <w:r>
        <w:rPr>
          <w:i/>
          <w:iCs/>
          <w:sz w:val="22"/>
          <w:szCs w:val="22"/>
          <w:lang w:val="it-IT"/>
        </w:rPr>
        <w:t>l</w:t>
      </w:r>
      <w:r w:rsidRPr="005D39EE">
        <w:rPr>
          <w:i/>
          <w:iCs/>
          <w:sz w:val="22"/>
          <w:szCs w:val="22"/>
          <w:lang w:val="it-IT"/>
        </w:rPr>
        <w:t>'esperimento del procedimento di mediazione, in materia di contratti assicurativi, bancari e finanziari, è condizione di procedibilità della domanda giudiziale.</w:t>
      </w:r>
    </w:p>
    <w:p w14:paraId="7C4F0328" w14:textId="5C2614D3" w:rsidR="000D24B2" w:rsidRDefault="000D24B2" w:rsidP="000D24B2">
      <w:pPr>
        <w:tabs>
          <w:tab w:val="clear" w:pos="567"/>
          <w:tab w:val="clear" w:pos="1134"/>
          <w:tab w:val="left" w:pos="1418"/>
        </w:tabs>
        <w:spacing w:before="60"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51E45D21" wp14:editId="1D873938">
            <wp:simplePos x="0" y="0"/>
            <wp:positionH relativeFrom="column">
              <wp:posOffset>4457075</wp:posOffset>
            </wp:positionH>
            <wp:positionV relativeFrom="paragraph">
              <wp:posOffset>-1530</wp:posOffset>
            </wp:positionV>
            <wp:extent cx="1638000" cy="619200"/>
            <wp:effectExtent l="0" t="0" r="0" b="0"/>
            <wp:wrapNone/>
            <wp:docPr id="5" name="Immagine 5" descr="Immagine che contiene calligrafia, ner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calligrafia, nero, tipografia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BANCA TERRITORI DEL MONVISO</w:t>
      </w:r>
    </w:p>
    <w:p w14:paraId="7742599F" w14:textId="4F0C14CF" w:rsidR="000D24B2" w:rsidRPr="000D24B2" w:rsidRDefault="000D24B2" w:rsidP="000D24B2">
      <w:pPr>
        <w:tabs>
          <w:tab w:val="clear" w:pos="567"/>
          <w:tab w:val="clear" w:pos="1134"/>
          <w:tab w:val="left" w:pos="1418"/>
        </w:tabs>
        <w:spacing w:before="60"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Il Presidente</w:t>
      </w:r>
    </w:p>
    <w:p w14:paraId="290D150B" w14:textId="47C7EEEF" w:rsidR="00AE3584" w:rsidRPr="00AE3584" w:rsidRDefault="00AE3584" w:rsidP="00AE3584">
      <w:pPr>
        <w:rPr>
          <w:rFonts w:eastAsiaTheme="minorEastAsia"/>
          <w:lang w:val="it-IT"/>
        </w:rPr>
      </w:pPr>
    </w:p>
    <w:p w14:paraId="21516E9C" w14:textId="77777777" w:rsidR="00AE3584" w:rsidRDefault="00AE3584" w:rsidP="00AE3584">
      <w:pPr>
        <w:rPr>
          <w:rFonts w:eastAsiaTheme="minorEastAsia"/>
          <w:lang w:val="it-IT"/>
        </w:rPr>
      </w:pPr>
    </w:p>
    <w:p w14:paraId="30476C0F" w14:textId="3F093A2A" w:rsidR="00AE3584" w:rsidRPr="00AE3584" w:rsidRDefault="00AE3584" w:rsidP="00AE3584">
      <w:pPr>
        <w:tabs>
          <w:tab w:val="clear" w:pos="567"/>
          <w:tab w:val="clear" w:pos="1134"/>
          <w:tab w:val="clear" w:pos="2268"/>
          <w:tab w:val="clear" w:pos="2835"/>
        </w:tabs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ab/>
      </w:r>
    </w:p>
    <w:sectPr w:rsidR="00AE3584" w:rsidRPr="00AE3584" w:rsidSect="00C600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65" w:right="850" w:bottom="1559" w:left="850" w:header="607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616C" w14:textId="77777777" w:rsidR="00E34011" w:rsidRDefault="00E34011" w:rsidP="00683DF5">
      <w:r>
        <w:separator/>
      </w:r>
    </w:p>
  </w:endnote>
  <w:endnote w:type="continuationSeparator" w:id="0">
    <w:p w14:paraId="7133CCFD" w14:textId="77777777" w:rsidR="00E34011" w:rsidRDefault="00E34011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698E" w14:textId="77777777" w:rsidR="00E53804" w:rsidRDefault="00E538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7AF1" w14:textId="73BBF7B5" w:rsidR="003D23DA" w:rsidRDefault="003933E1" w:rsidP="007F126C"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76" w:lineRule="auto"/>
      <w:rPr>
        <w:rFonts w:cs="Times New Roman"/>
        <w:color w:val="auto"/>
        <w:w w:val="113"/>
        <w:sz w:val="11"/>
        <w:szCs w:val="11"/>
        <w:lang w:val="it-IT"/>
      </w:rPr>
    </w:pPr>
    <w:r>
      <w:rPr>
        <w:rFonts w:cs="Times New Roman"/>
        <w:noProof/>
        <w:color w:val="auto"/>
        <w:sz w:val="11"/>
        <w:szCs w:val="11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ACD06" wp14:editId="0C3B8A3E">
              <wp:simplePos x="0" y="0"/>
              <wp:positionH relativeFrom="column">
                <wp:posOffset>12909</wp:posOffset>
              </wp:positionH>
              <wp:positionV relativeFrom="paragraph">
                <wp:posOffset>61909</wp:posOffset>
              </wp:positionV>
              <wp:extent cx="6461090" cy="0"/>
              <wp:effectExtent l="0" t="0" r="1651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090" cy="0"/>
                      </a:xfrm>
                      <a:prstGeom prst="line">
                        <a:avLst/>
                      </a:prstGeom>
                      <a:ln>
                        <a:solidFill>
                          <a:srgbClr val="005872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67F96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85pt" to="50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bZ2QEAABgEAAAOAAAAZHJzL2Uyb0RvYy54bWysU9uO2yAUfK/Uf0C8N7ajNt1acfYh0fal&#10;aqNePoDgQ4wEHAQ0cf6+B5x4e5OqrvYFG5iZc2aA9f1oDTtBiBpdx5tFzRk4ib12x45/+/rw6o6z&#10;mITrhUEHHb9A5Pebly/WZ9/CEgc0PQRGIi62Z9/xISXfVlWUA1gRF+jB0abCYEWiaThWfRBnUrem&#10;Wtb1qjpj6H1ACTHS6m7a5JuirxTI9EmpCImZjlNvqYyhjIc8Vpu1aI9B+EHLaxviCV1YoR0VnaV2&#10;Ign2Peg/pKyWASOqtJBoK1RKSygeyE1T/+bmyyA8FC8UTvRzTPH5ZOXH0z4w3Xd8yZkTlo5oi85B&#10;ShiANWyZEzr72BJw6/bhOot+H7LdUQWbv2SEjSXVy5wqjIlJWly9XjX1Owpf3vaqR6IPMb0HtCz/&#10;dNxolw2LVpw+xETFCHqD5GXj8hjR6P5BG1Mm4XjYmsBOIh9x/ebubemZiL/AsspOxGHCxUvcYcre&#10;CJdFq+xxclX+0sXAVPAzKMqHfDSlsXIzYS4opASXmlmJ0JmmqLmZWP+beMVnKpRb+z/kmVEqo0sz&#10;2WqH4W/V03hrWU34WwKT7xzBAftLOe8SDV2/ktX1qeT7/fO80B8f9OYHAAAA//8DAFBLAwQUAAYA&#10;CAAAACEAlPtQ8+EAAAALAQAADwAAAGRycy9kb3ducmV2LnhtbEyPMU/DMBCFd6T+B+sqsVG7QVCa&#10;xqlQAktZ2gADmxsfSdT4HMVOm/x7XBZYTrp7eu/el2xH07Iz9q6xJGG5EMCQSqsbqiR8vL/ePQFz&#10;XpFWrSWUMKGDbTq7SVSs7YUOeC58xUIIuVhJqL3vYs5dWaNRbmE7pKB9294oH9a+4rpXlxBuWh4J&#10;8ciNaih8qFWHWY3lqRiMhJchn0QXfd2/ZVO+z05691nkOylv52O+CeN5A8zj6P8ccGUI/SENxY52&#10;IO1YKyEKOF7CegXsqorl+gHY8ffA04T/Z0h/AAAA//8DAFBLAQItABQABgAIAAAAIQC2gziS/gAA&#10;AOEBAAATAAAAAAAAAAAAAAAAAAAAAABbQ29udGVudF9UeXBlc10ueG1sUEsBAi0AFAAGAAgAAAAh&#10;ADj9If/WAAAAlAEAAAsAAAAAAAAAAAAAAAAALwEAAF9yZWxzLy5yZWxzUEsBAi0AFAAGAAgAAAAh&#10;AOAUttnZAQAAGAQAAA4AAAAAAAAAAAAAAAAALgIAAGRycy9lMm9Eb2MueG1sUEsBAi0AFAAGAAgA&#10;AAAhAJT7UPPhAAAACwEAAA8AAAAAAAAAAAAAAAAAMwQAAGRycy9kb3ducmV2LnhtbFBLBQYAAAAA&#10;BAAEAPMAAABBBQAAAAA=&#10;" strokecolor="#005872">
              <v:stroke dashstyle="1 1"/>
            </v:line>
          </w:pict>
        </mc:Fallback>
      </mc:AlternateContent>
    </w:r>
  </w:p>
  <w:p w14:paraId="3C8F7F62" w14:textId="77777777" w:rsidR="003933E1" w:rsidRDefault="003933E1" w:rsidP="007F126C"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76" w:lineRule="auto"/>
      <w:rPr>
        <w:rFonts w:cs="Times New Roman"/>
        <w:color w:val="auto"/>
        <w:w w:val="113"/>
        <w:sz w:val="11"/>
        <w:szCs w:val="11"/>
        <w:lang w:val="it-IT"/>
      </w:rPr>
    </w:pPr>
  </w:p>
  <w:p w14:paraId="21F549E1" w14:textId="72EF396F" w:rsidR="0048207E" w:rsidRPr="000415F7" w:rsidRDefault="006B6E21" w:rsidP="007F126C"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76" w:lineRule="auto"/>
      <w:rPr>
        <w:rFonts w:cs="Times New Roman"/>
        <w:color w:val="auto"/>
        <w:w w:val="111"/>
        <w:sz w:val="11"/>
        <w:szCs w:val="11"/>
        <w:lang w:val="it-IT"/>
      </w:rPr>
    </w:pPr>
    <w:r w:rsidRPr="000415F7">
      <w:rPr>
        <w:rFonts w:cs="Times New Roman"/>
        <w:color w:val="auto"/>
        <w:w w:val="111"/>
        <w:sz w:val="11"/>
        <w:szCs w:val="11"/>
        <w:lang w:val="it-IT"/>
      </w:rPr>
      <w:t>I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scritta all’Albo delle Coop. n. A159420 - Iscritta all’Albo delle banche tenuto dalla Banca d’Italia al n. 4510.40 - R.E.A. Cuneo n. 41735 - Cod. </w:t>
    </w:r>
    <w:proofErr w:type="spellStart"/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>Abi</w:t>
    </w:r>
    <w:proofErr w:type="spellEnd"/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 8833</w:t>
    </w:r>
    <w:r w:rsidR="00B7766C" w:rsidRPr="000415F7">
      <w:rPr>
        <w:rFonts w:cs="Times New Roman"/>
        <w:color w:val="auto"/>
        <w:w w:val="111"/>
        <w:sz w:val="11"/>
        <w:szCs w:val="11"/>
        <w:lang w:val="it-IT"/>
      </w:rPr>
      <w:t xml:space="preserve"> 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>-</w:t>
    </w:r>
    <w:r w:rsidR="00B7766C" w:rsidRPr="000415F7">
      <w:rPr>
        <w:rFonts w:cs="Times New Roman"/>
        <w:color w:val="auto"/>
        <w:w w:val="111"/>
        <w:sz w:val="11"/>
        <w:szCs w:val="11"/>
        <w:lang w:val="it-IT"/>
      </w:rPr>
      <w:t xml:space="preserve"> 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Iscrizione al Registro delle imprese di Cuneo e Codice fiscale n. 00167420041 - Società partecipante al Gruppo IVA Cassa Centrale Banca </w:t>
    </w:r>
    <w:r w:rsidRPr="000415F7">
      <w:rPr>
        <w:rFonts w:cs="Times New Roman"/>
        <w:color w:val="auto"/>
        <w:w w:val="111"/>
        <w:sz w:val="11"/>
        <w:szCs w:val="11"/>
        <w:lang w:val="it-IT"/>
      </w:rPr>
      <w:t>-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 P.IVA 02529020220 - Codice destinatario per fatturazione elettronica (SDI): </w:t>
    </w:r>
    <w:r w:rsidR="007E55E4">
      <w:rPr>
        <w:rFonts w:cs="Times New Roman"/>
        <w:color w:val="auto"/>
        <w:w w:val="111"/>
        <w:sz w:val="11"/>
        <w:szCs w:val="11"/>
        <w:lang w:val="it-IT"/>
      </w:rPr>
      <w:t>ZS100U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>1</w:t>
    </w:r>
    <w:r w:rsidR="00300DC5" w:rsidRPr="000415F7">
      <w:rPr>
        <w:rFonts w:cs="Times New Roman"/>
        <w:color w:val="auto"/>
        <w:w w:val="111"/>
        <w:sz w:val="11"/>
        <w:szCs w:val="11"/>
        <w:lang w:val="it-IT"/>
      </w:rPr>
      <w:t xml:space="preserve"> 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>-</w:t>
    </w:r>
    <w:r w:rsidRPr="000415F7">
      <w:rPr>
        <w:rFonts w:cs="Times New Roman"/>
        <w:color w:val="auto"/>
        <w:w w:val="111"/>
        <w:sz w:val="11"/>
        <w:szCs w:val="11"/>
        <w:lang w:val="it-IT"/>
      </w:rPr>
      <w:t xml:space="preserve"> 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>Aderente al Gruppo Bancario Cooperativo Cassa Centrale Banca, iscritto all’Albo</w:t>
    </w:r>
    <w:r w:rsidRPr="000415F7">
      <w:rPr>
        <w:rFonts w:cs="Times New Roman"/>
        <w:color w:val="auto"/>
        <w:w w:val="111"/>
        <w:sz w:val="11"/>
        <w:szCs w:val="11"/>
        <w:lang w:val="it-IT"/>
      </w:rPr>
      <w:t xml:space="preserve"> 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dei Gruppi Bancari - Soggetta all’attività di direzione e coordinamento della Capogruppo Cassa Centrale Banca </w:t>
    </w:r>
    <w:r w:rsidR="004D4819" w:rsidRPr="000415F7">
      <w:rPr>
        <w:rFonts w:cs="Times New Roman"/>
        <w:color w:val="auto"/>
        <w:w w:val="111"/>
        <w:sz w:val="11"/>
        <w:szCs w:val="11"/>
        <w:lang w:val="it-IT"/>
      </w:rPr>
      <w:t>-</w:t>
    </w:r>
    <w:r w:rsidR="0048207E" w:rsidRPr="000415F7">
      <w:rPr>
        <w:rFonts w:cs="Times New Roman"/>
        <w:color w:val="auto"/>
        <w:w w:val="111"/>
        <w:sz w:val="11"/>
        <w:szCs w:val="11"/>
        <w:lang w:val="it-IT"/>
      </w:rPr>
      <w:t xml:space="preserve"> Credito Cooperativo Italiano S.p.A. - Aderente al Fondo di Garanzia dei Depositanti del Credito Cooperativo, al Fondo Nazionale di Garanzia, al Fondo di Garanzia degli Obbligazionisti del Credito Cooperativo e al Fondo di Garanzia Istituzionale del Credito Cooperativo.</w:t>
    </w:r>
  </w:p>
  <w:p w14:paraId="5DF509A8" w14:textId="1C8057A3" w:rsidR="006B6E21" w:rsidRDefault="006B6E21" w:rsidP="007F126C"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rPr>
        <w:rFonts w:cs="Times New Roman"/>
        <w:color w:val="auto"/>
        <w:sz w:val="11"/>
        <w:szCs w:val="11"/>
        <w:lang w:val="it-IT"/>
      </w:rPr>
    </w:pPr>
  </w:p>
  <w:p w14:paraId="02AEC762" w14:textId="0DBFAA66" w:rsidR="006B6E21" w:rsidRPr="00B720A8" w:rsidRDefault="00E53804" w:rsidP="007F126C"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center"/>
      <w:rPr>
        <w:rFonts w:cs="Times New Roman"/>
        <w:color w:val="005872"/>
        <w:spacing w:val="20"/>
        <w:sz w:val="21"/>
        <w:lang w:val="it-IT"/>
      </w:rPr>
    </w:pPr>
    <w:r>
      <w:rPr>
        <w:rFonts w:cs="Times New Roman"/>
        <w:color w:val="005872"/>
        <w:spacing w:val="20"/>
        <w:sz w:val="21"/>
        <w:lang w:val="it-IT"/>
      </w:rPr>
      <w:t>www.</w:t>
    </w:r>
    <w:r w:rsidR="006B6E21" w:rsidRPr="00B720A8">
      <w:rPr>
        <w:rFonts w:cs="Times New Roman"/>
        <w:color w:val="005872"/>
        <w:spacing w:val="20"/>
        <w:sz w:val="21"/>
        <w:lang w:val="it-IT"/>
      </w:rPr>
      <w:t>bancabtm.it</w:t>
    </w:r>
  </w:p>
  <w:p w14:paraId="484FE882" w14:textId="77777777" w:rsidR="0048207E" w:rsidRPr="006B6E21" w:rsidRDefault="0048207E" w:rsidP="007F126C">
    <w:pPr>
      <w:shd w:val="clear" w:color="auto" w:fill="auto"/>
      <w:spacing w:line="240" w:lineRule="auto"/>
      <w:jc w:val="left"/>
      <w:rPr>
        <w:sz w:val="11"/>
        <w:szCs w:val="11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7D24" w14:textId="77777777" w:rsidR="00E53804" w:rsidRDefault="00E538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8030" w14:textId="77777777" w:rsidR="00E34011" w:rsidRDefault="00E34011" w:rsidP="00683DF5">
      <w:r>
        <w:separator/>
      </w:r>
    </w:p>
  </w:footnote>
  <w:footnote w:type="continuationSeparator" w:id="0">
    <w:p w14:paraId="2DC46568" w14:textId="77777777" w:rsidR="00E34011" w:rsidRDefault="00E34011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48DB" w14:textId="2978B653" w:rsidR="00E53804" w:rsidRDefault="00AE3584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F75988" wp14:editId="5FBAEE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23C6E" w14:textId="3AA508ED" w:rsidR="00AE3584" w:rsidRPr="00AE3584" w:rsidRDefault="00AE3584" w:rsidP="00AE35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E35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7598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CLASSIFICAZIONE: INTERNO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4123C6E" w14:textId="3AA508ED" w:rsidR="00AE3584" w:rsidRPr="00AE3584" w:rsidRDefault="00AE3584" w:rsidP="00AE35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E35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3002" w14:textId="5977108F" w:rsidR="00C76EB1" w:rsidRDefault="00AE3584" w:rsidP="00D20682">
    <w:pPr>
      <w:pStyle w:val="Paragrafobase"/>
      <w:tabs>
        <w:tab w:val="left" w:pos="140"/>
        <w:tab w:val="left" w:pos="6237"/>
      </w:tabs>
      <w:spacing w:line="240" w:lineRule="auto"/>
      <w:ind w:left="5529"/>
      <w:jc w:val="both"/>
      <w:rPr>
        <w:rFonts w:ascii="Century Gothic" w:hAnsi="Century Gothic" w:cs="Century Gothic"/>
        <w:b/>
        <w:bCs/>
        <w:caps/>
        <w:color w:val="005872"/>
        <w:sz w:val="16"/>
        <w:szCs w:val="16"/>
      </w:rPr>
    </w:pPr>
    <w:r>
      <w:rPr>
        <w:rFonts w:ascii="Century Gothic" w:hAnsi="Century Gothic" w:cs="Century Gothic"/>
        <w:b/>
        <w:bCs/>
        <w:noProof/>
        <w:color w:val="005872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C31324" wp14:editId="4B293EF4">
              <wp:simplePos x="541325" y="38770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515F9" w14:textId="6878D7BB" w:rsidR="00AE3584" w:rsidRPr="00AE3584" w:rsidRDefault="00AE3584" w:rsidP="00AE35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E35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31324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CLASSIFICAZIONE: INTERNO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E9515F9" w14:textId="6878D7BB" w:rsidR="00AE3584" w:rsidRPr="00AE3584" w:rsidRDefault="00AE3584" w:rsidP="00AE35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E35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025D">
      <w:rPr>
        <w:rFonts w:ascii="Century Gothic" w:hAnsi="Century Gothic" w:cs="Century Gothic"/>
        <w:b/>
        <w:bCs/>
        <w:noProof/>
        <w:color w:val="005872"/>
        <w:sz w:val="16"/>
        <w:szCs w:val="16"/>
      </w:rPr>
      <w:drawing>
        <wp:anchor distT="0" distB="0" distL="114300" distR="114300" simplePos="0" relativeHeight="251660288" behindDoc="0" locked="0" layoutInCell="1" allowOverlap="1" wp14:anchorId="278AB11D" wp14:editId="5B632CA4">
          <wp:simplePos x="0" y="0"/>
          <wp:positionH relativeFrom="column">
            <wp:posOffset>-156650</wp:posOffset>
          </wp:positionH>
          <wp:positionV relativeFrom="paragraph">
            <wp:posOffset>-120015</wp:posOffset>
          </wp:positionV>
          <wp:extent cx="3517900" cy="1005114"/>
          <wp:effectExtent l="0" t="0" r="0" b="0"/>
          <wp:wrapNone/>
          <wp:docPr id="1007969474" name="Immagine 4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69474" name="Immagine 4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05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1">
      <w:rPr>
        <w:rFonts w:ascii="Century Gothic" w:hAnsi="Century Gothic" w:cs="Century Gothic"/>
        <w:b/>
        <w:bCs/>
        <w:caps/>
        <w:color w:val="005872"/>
        <w:sz w:val="16"/>
        <w:szCs w:val="16"/>
      </w:rPr>
      <w:t>BANCA TERRITORI DEL MONVISO</w:t>
    </w:r>
  </w:p>
  <w:p w14:paraId="332AB0F1" w14:textId="1E171888" w:rsidR="00C76EB1" w:rsidRDefault="00C76EB1" w:rsidP="007F126C">
    <w:pPr>
      <w:pStyle w:val="Paragrafobase"/>
      <w:tabs>
        <w:tab w:val="left" w:pos="140"/>
      </w:tabs>
      <w:spacing w:after="57" w:line="276" w:lineRule="auto"/>
      <w:ind w:left="5529"/>
      <w:jc w:val="both"/>
      <w:rPr>
        <w:rFonts w:ascii="Century Gothic" w:hAnsi="Century Gothic" w:cs="Century Gothic"/>
        <w:b/>
        <w:bCs/>
        <w:color w:val="005872"/>
        <w:sz w:val="16"/>
        <w:szCs w:val="16"/>
      </w:rPr>
    </w:pPr>
    <w:r>
      <w:rPr>
        <w:rFonts w:ascii="Century Gothic" w:hAnsi="Century Gothic" w:cs="Century Gothic"/>
        <w:b/>
        <w:bCs/>
        <w:color w:val="005872"/>
        <w:sz w:val="16"/>
        <w:szCs w:val="16"/>
      </w:rPr>
      <w:t>Credito Cooperativo di Casalgrasso e Sant’Albano Stura S.C.</w:t>
    </w:r>
  </w:p>
  <w:p w14:paraId="07D2DCE7" w14:textId="198DCB19" w:rsidR="00C76EB1" w:rsidRDefault="00C76EB1" w:rsidP="007F126C">
    <w:pPr>
      <w:pStyle w:val="Paragrafobase"/>
      <w:tabs>
        <w:tab w:val="left" w:pos="140"/>
      </w:tabs>
      <w:spacing w:after="57" w:line="276" w:lineRule="auto"/>
      <w:ind w:left="5529"/>
      <w:jc w:val="both"/>
      <w:rPr>
        <w:rFonts w:ascii="Century Gothic" w:hAnsi="Century Gothic" w:cs="Century Gothic"/>
        <w:sz w:val="17"/>
        <w:szCs w:val="17"/>
      </w:rPr>
    </w:pPr>
    <w:r>
      <w:rPr>
        <w:rFonts w:ascii="Century Gothic" w:hAnsi="Century Gothic" w:cs="Century Gothic"/>
        <w:b/>
        <w:bCs/>
        <w:caps/>
        <w:color w:val="005872"/>
        <w:sz w:val="14"/>
        <w:szCs w:val="14"/>
      </w:rPr>
      <w:t xml:space="preserve">SEDE </w:t>
    </w:r>
    <w:r>
      <w:rPr>
        <w:rFonts w:ascii="Century Gothic" w:hAnsi="Century Gothic" w:cs="Century Gothic"/>
        <w:b/>
        <w:bCs/>
        <w:caps/>
        <w:color w:val="005872"/>
        <w:spacing w:val="1"/>
        <w:sz w:val="14"/>
        <w:szCs w:val="14"/>
      </w:rPr>
      <w:t>LEGALE</w:t>
    </w:r>
    <w:r w:rsidRPr="006242F9">
      <w:rPr>
        <w:rFonts w:ascii="Century Gothic" w:hAnsi="Century Gothic" w:cs="Century Gothic"/>
        <w:caps/>
        <w:color w:val="005872"/>
        <w:spacing w:val="1"/>
      </w:rPr>
      <w:t xml:space="preserve"> </w:t>
    </w:r>
    <w:r>
      <w:rPr>
        <w:rFonts w:ascii="Century Gothic" w:hAnsi="Century Gothic" w:cs="Century Gothic"/>
        <w:color w:val="636362"/>
        <w:spacing w:val="1"/>
        <w:sz w:val="16"/>
        <w:szCs w:val="16"/>
      </w:rPr>
      <w:t xml:space="preserve">Via F. Vallauri, 24 </w:t>
    </w:r>
    <w:r>
      <w:rPr>
        <w:rFonts w:ascii="Century Gothic" w:hAnsi="Century Gothic" w:cs="Century Gothic"/>
        <w:color w:val="636362"/>
        <w:spacing w:val="-19"/>
        <w:sz w:val="16"/>
        <w:szCs w:val="16"/>
      </w:rPr>
      <w:t>-</w:t>
    </w:r>
    <w:r>
      <w:rPr>
        <w:rFonts w:ascii="Century Gothic" w:hAnsi="Century Gothic" w:cs="Century Gothic"/>
        <w:color w:val="636362"/>
        <w:spacing w:val="1"/>
        <w:sz w:val="16"/>
        <w:szCs w:val="16"/>
      </w:rPr>
      <w:t xml:space="preserve"> 12040 Sant’Albano Stura (CN) </w:t>
    </w:r>
  </w:p>
  <w:p w14:paraId="3F714B1B" w14:textId="6A91667B" w:rsidR="00C76EB1" w:rsidRDefault="00C76EB1" w:rsidP="007F126C">
    <w:pPr>
      <w:pStyle w:val="Paragrafobase"/>
      <w:tabs>
        <w:tab w:val="left" w:pos="140"/>
      </w:tabs>
      <w:spacing w:after="28" w:line="240" w:lineRule="auto"/>
      <w:ind w:left="5529"/>
      <w:jc w:val="both"/>
      <w:rPr>
        <w:rFonts w:ascii="Century Gothic" w:hAnsi="Century Gothic" w:cs="Century Gothic"/>
        <w:color w:val="636362"/>
        <w:spacing w:val="2"/>
        <w:sz w:val="16"/>
        <w:szCs w:val="16"/>
      </w:rPr>
    </w:pPr>
    <w:r w:rsidRPr="006B6E21">
      <w:rPr>
        <w:rFonts w:ascii="Century Gothic" w:hAnsi="Century Gothic" w:cs="Century Gothic"/>
        <w:b/>
        <w:bCs/>
        <w:caps/>
        <w:color w:val="005872"/>
        <w:spacing w:val="1"/>
        <w:sz w:val="14"/>
        <w:szCs w:val="14"/>
      </w:rPr>
      <w:t>DIREZIONE</w:t>
    </w:r>
    <w:r>
      <w:rPr>
        <w:rFonts w:ascii="Century Gothic" w:hAnsi="Century Gothic" w:cs="Century Gothic"/>
        <w:b/>
        <w:bCs/>
        <w:caps/>
        <w:color w:val="005872"/>
        <w:spacing w:val="1"/>
        <w:sz w:val="14"/>
        <w:szCs w:val="14"/>
      </w:rPr>
      <w:t xml:space="preserve"> GENERALE</w:t>
    </w:r>
    <w:r>
      <w:rPr>
        <w:rFonts w:ascii="Century Gothic" w:hAnsi="Century Gothic" w:cs="Century Gothic"/>
        <w:color w:val="636362"/>
        <w:spacing w:val="2"/>
        <w:sz w:val="17"/>
        <w:szCs w:val="17"/>
      </w:rPr>
      <w:t xml:space="preserve">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Via Chieri, 3</w:t>
    </w:r>
    <w:r>
      <w:rPr>
        <w:rFonts w:ascii="Century Gothic" w:hAnsi="Century Gothic" w:cs="Century Gothic"/>
        <w:color w:val="636362"/>
        <w:spacing w:val="-16"/>
        <w:sz w:val="16"/>
        <w:szCs w:val="16"/>
      </w:rPr>
      <w:t>1</w:t>
    </w:r>
    <w:r>
      <w:rPr>
        <w:rFonts w:ascii="Century Gothic" w:hAnsi="Century Gothic" w:cs="Century Gothic"/>
        <w:color w:val="636362"/>
        <w:spacing w:val="1"/>
        <w:sz w:val="16"/>
        <w:szCs w:val="16"/>
      </w:rPr>
      <w:t xml:space="preserve">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-</w:t>
    </w:r>
    <w:r>
      <w:rPr>
        <w:rFonts w:ascii="Century Gothic" w:hAnsi="Century Gothic" w:cs="Century Gothic"/>
        <w:color w:val="636362"/>
        <w:spacing w:val="1"/>
        <w:sz w:val="16"/>
        <w:szCs w:val="16"/>
      </w:rPr>
      <w:t xml:space="preserve">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10022 Carmagnola (TO)</w:t>
    </w:r>
    <w:r>
      <w:rPr>
        <w:rFonts w:ascii="Century Gothic" w:hAnsi="Century Gothic" w:cs="Century Gothic"/>
        <w:color w:val="636362"/>
        <w:spacing w:val="1"/>
        <w:sz w:val="16"/>
        <w:szCs w:val="16"/>
      </w:rPr>
      <w:br/>
    </w:r>
    <w:r>
      <w:rPr>
        <w:rFonts w:ascii="Century Gothic" w:hAnsi="Century Gothic" w:cs="Century Gothic"/>
        <w:color w:val="636362"/>
        <w:spacing w:val="2"/>
        <w:sz w:val="16"/>
        <w:szCs w:val="16"/>
      </w:rPr>
      <w:t>Tel</w:t>
    </w:r>
    <w:r w:rsidR="00E53804">
      <w:rPr>
        <w:rFonts w:ascii="Century Gothic" w:hAnsi="Century Gothic" w:cs="Century Gothic"/>
        <w:color w:val="636362"/>
        <w:spacing w:val="2"/>
        <w:sz w:val="16"/>
        <w:szCs w:val="16"/>
      </w:rPr>
      <w:t xml:space="preserve">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+39 011</w:t>
    </w:r>
    <w:r w:rsidR="00E53804">
      <w:rPr>
        <w:rFonts w:ascii="Century Gothic" w:hAnsi="Century Gothic" w:cs="Century Gothic"/>
        <w:color w:val="636362"/>
        <w:spacing w:val="2"/>
        <w:sz w:val="16"/>
        <w:szCs w:val="16"/>
      </w:rPr>
      <w:t>.</w:t>
    </w:r>
    <w:r>
      <w:rPr>
        <w:rFonts w:ascii="Century Gothic" w:hAnsi="Century Gothic" w:cs="Century Gothic"/>
        <w:color w:val="636362"/>
        <w:spacing w:val="8"/>
        <w:sz w:val="16"/>
        <w:szCs w:val="16"/>
      </w:rPr>
      <w:t>97300</w:t>
    </w:r>
    <w:r w:rsidR="00E53804">
      <w:rPr>
        <w:rFonts w:ascii="Century Gothic" w:hAnsi="Century Gothic" w:cs="Century Gothic"/>
        <w:color w:val="636362"/>
        <w:spacing w:val="8"/>
        <w:sz w:val="16"/>
        <w:szCs w:val="16"/>
      </w:rPr>
      <w:t xml:space="preserve"> </w:t>
    </w:r>
    <w:r w:rsidR="00E53804">
      <w:rPr>
        <w:rFonts w:ascii="Century Gothic" w:hAnsi="Century Gothic" w:cs="Century Gothic"/>
        <w:color w:val="636362"/>
        <w:spacing w:val="2"/>
        <w:sz w:val="16"/>
        <w:szCs w:val="16"/>
      </w:rPr>
      <w:t xml:space="preserve">-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Fax +39 011</w:t>
    </w:r>
    <w:r w:rsidR="00E53804">
      <w:rPr>
        <w:rFonts w:ascii="Century Gothic" w:hAnsi="Century Gothic" w:cs="Century Gothic"/>
        <w:color w:val="636362"/>
        <w:spacing w:val="2"/>
        <w:sz w:val="16"/>
        <w:szCs w:val="16"/>
      </w:rPr>
      <w:t>.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9730160</w:t>
    </w:r>
    <w:r w:rsidR="00E53804">
      <w:rPr>
        <w:rFonts w:ascii="Century Gothic" w:hAnsi="Century Gothic" w:cs="Century Gothic"/>
        <w:color w:val="636362"/>
        <w:spacing w:val="2"/>
        <w:sz w:val="17"/>
        <w:szCs w:val="17"/>
      </w:rPr>
      <w:t xml:space="preserve"> - </w:t>
    </w:r>
    <w:r>
      <w:rPr>
        <w:rFonts w:ascii="Century Gothic" w:hAnsi="Century Gothic" w:cs="Century Gothic"/>
        <w:color w:val="636362"/>
        <w:spacing w:val="2"/>
        <w:sz w:val="16"/>
        <w:szCs w:val="16"/>
      </w:rPr>
      <w:t>info@bancabtm.it</w:t>
    </w:r>
  </w:p>
  <w:p w14:paraId="45907BE2" w14:textId="14600F58" w:rsidR="0085566F" w:rsidRPr="00E53804" w:rsidRDefault="0085566F" w:rsidP="00C76EB1">
    <w:pPr>
      <w:shd w:val="clear" w:color="auto" w:fill="auto"/>
      <w:ind w:right="1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8E38" w14:textId="76124CA4" w:rsidR="00E53804" w:rsidRDefault="00AE3584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132A89" wp14:editId="5AB49BC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1E634" w14:textId="1F89355B" w:rsidR="00AE3584" w:rsidRPr="00AE3584" w:rsidRDefault="00AE3584" w:rsidP="00AE35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E35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32A8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021E634" w14:textId="1F89355B" w:rsidR="00AE3584" w:rsidRPr="00AE3584" w:rsidRDefault="00AE3584" w:rsidP="00AE35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E35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097A"/>
    <w:multiLevelType w:val="hybridMultilevel"/>
    <w:tmpl w:val="6BF2B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051DE"/>
    <w:multiLevelType w:val="hybridMultilevel"/>
    <w:tmpl w:val="3E8A9F66"/>
    <w:lvl w:ilvl="0" w:tplc="DD3CDA1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4259">
    <w:abstractNumId w:val="6"/>
  </w:num>
  <w:num w:numId="2" w16cid:durableId="551230653">
    <w:abstractNumId w:val="4"/>
  </w:num>
  <w:num w:numId="3" w16cid:durableId="839735959">
    <w:abstractNumId w:val="13"/>
  </w:num>
  <w:num w:numId="4" w16cid:durableId="39087188">
    <w:abstractNumId w:val="7"/>
  </w:num>
  <w:num w:numId="5" w16cid:durableId="216402371">
    <w:abstractNumId w:val="17"/>
  </w:num>
  <w:num w:numId="6" w16cid:durableId="1570842131">
    <w:abstractNumId w:val="12"/>
  </w:num>
  <w:num w:numId="7" w16cid:durableId="280651519">
    <w:abstractNumId w:val="3"/>
  </w:num>
  <w:num w:numId="8" w16cid:durableId="1177772087">
    <w:abstractNumId w:val="18"/>
  </w:num>
  <w:num w:numId="9" w16cid:durableId="1861697013">
    <w:abstractNumId w:val="11"/>
  </w:num>
  <w:num w:numId="10" w16cid:durableId="1165126107">
    <w:abstractNumId w:val="0"/>
  </w:num>
  <w:num w:numId="11" w16cid:durableId="1353871402">
    <w:abstractNumId w:val="14"/>
  </w:num>
  <w:num w:numId="12" w16cid:durableId="1954164686">
    <w:abstractNumId w:val="5"/>
  </w:num>
  <w:num w:numId="13" w16cid:durableId="1037581215">
    <w:abstractNumId w:val="1"/>
  </w:num>
  <w:num w:numId="14" w16cid:durableId="1703020413">
    <w:abstractNumId w:val="15"/>
  </w:num>
  <w:num w:numId="15" w16cid:durableId="1663968044">
    <w:abstractNumId w:val="10"/>
  </w:num>
  <w:num w:numId="16" w16cid:durableId="1934048670">
    <w:abstractNumId w:val="2"/>
  </w:num>
  <w:num w:numId="17" w16cid:durableId="1393504801">
    <w:abstractNumId w:val="19"/>
  </w:num>
  <w:num w:numId="18" w16cid:durableId="1722052669">
    <w:abstractNumId w:val="8"/>
  </w:num>
  <w:num w:numId="19" w16cid:durableId="483548179">
    <w:abstractNumId w:val="16"/>
  </w:num>
  <w:num w:numId="20" w16cid:durableId="2077900080">
    <w:abstractNumId w:val="9"/>
  </w:num>
  <w:num w:numId="21" w16cid:durableId="686567794">
    <w:abstractNumId w:val="20"/>
  </w:num>
  <w:num w:numId="22" w16cid:durableId="259990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6F"/>
    <w:rsid w:val="000415F7"/>
    <w:rsid w:val="0004688E"/>
    <w:rsid w:val="000651CF"/>
    <w:rsid w:val="0008467A"/>
    <w:rsid w:val="000865B8"/>
    <w:rsid w:val="000A460C"/>
    <w:rsid w:val="000D24B2"/>
    <w:rsid w:val="000D5194"/>
    <w:rsid w:val="000F0855"/>
    <w:rsid w:val="00130FE3"/>
    <w:rsid w:val="00132363"/>
    <w:rsid w:val="0014540C"/>
    <w:rsid w:val="00156782"/>
    <w:rsid w:val="00166DE2"/>
    <w:rsid w:val="001C12EB"/>
    <w:rsid w:val="001C3023"/>
    <w:rsid w:val="001D1DA2"/>
    <w:rsid w:val="001D645C"/>
    <w:rsid w:val="001E3E61"/>
    <w:rsid w:val="001F0142"/>
    <w:rsid w:val="00212AB5"/>
    <w:rsid w:val="00252DA4"/>
    <w:rsid w:val="00263A13"/>
    <w:rsid w:val="00266CE0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00DC5"/>
    <w:rsid w:val="00327699"/>
    <w:rsid w:val="00333A22"/>
    <w:rsid w:val="00366BA2"/>
    <w:rsid w:val="00377568"/>
    <w:rsid w:val="00387DFB"/>
    <w:rsid w:val="003933E1"/>
    <w:rsid w:val="003A320A"/>
    <w:rsid w:val="003D2306"/>
    <w:rsid w:val="003D23DA"/>
    <w:rsid w:val="003D293F"/>
    <w:rsid w:val="003F00DF"/>
    <w:rsid w:val="0040025D"/>
    <w:rsid w:val="00433D6B"/>
    <w:rsid w:val="00443AAF"/>
    <w:rsid w:val="004508A3"/>
    <w:rsid w:val="004708F9"/>
    <w:rsid w:val="00475E33"/>
    <w:rsid w:val="004771A0"/>
    <w:rsid w:val="0048207E"/>
    <w:rsid w:val="00491BEE"/>
    <w:rsid w:val="004A3C18"/>
    <w:rsid w:val="004B3EF1"/>
    <w:rsid w:val="004B769A"/>
    <w:rsid w:val="004C35F1"/>
    <w:rsid w:val="004D31BF"/>
    <w:rsid w:val="004D4819"/>
    <w:rsid w:val="004E14DA"/>
    <w:rsid w:val="0051432B"/>
    <w:rsid w:val="00534DF3"/>
    <w:rsid w:val="005361ED"/>
    <w:rsid w:val="00551770"/>
    <w:rsid w:val="005567BB"/>
    <w:rsid w:val="0057284F"/>
    <w:rsid w:val="00584AC1"/>
    <w:rsid w:val="00586FCD"/>
    <w:rsid w:val="0059742E"/>
    <w:rsid w:val="005D1417"/>
    <w:rsid w:val="005F1A4B"/>
    <w:rsid w:val="00613EB5"/>
    <w:rsid w:val="006242F9"/>
    <w:rsid w:val="00625F08"/>
    <w:rsid w:val="00632A43"/>
    <w:rsid w:val="00653144"/>
    <w:rsid w:val="00683DF5"/>
    <w:rsid w:val="006A61C9"/>
    <w:rsid w:val="006A71CD"/>
    <w:rsid w:val="006B6E21"/>
    <w:rsid w:val="006E05CA"/>
    <w:rsid w:val="006E30D3"/>
    <w:rsid w:val="006E6DB5"/>
    <w:rsid w:val="006F4372"/>
    <w:rsid w:val="00701A67"/>
    <w:rsid w:val="00711DCD"/>
    <w:rsid w:val="0072230A"/>
    <w:rsid w:val="00723CA1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E55E4"/>
    <w:rsid w:val="007F126C"/>
    <w:rsid w:val="007F5CE9"/>
    <w:rsid w:val="00803CD5"/>
    <w:rsid w:val="008310D5"/>
    <w:rsid w:val="008346D5"/>
    <w:rsid w:val="0085566F"/>
    <w:rsid w:val="00872757"/>
    <w:rsid w:val="008B2F25"/>
    <w:rsid w:val="008C71F2"/>
    <w:rsid w:val="008E22B5"/>
    <w:rsid w:val="008F6296"/>
    <w:rsid w:val="0091221A"/>
    <w:rsid w:val="00945C09"/>
    <w:rsid w:val="00963593"/>
    <w:rsid w:val="00977444"/>
    <w:rsid w:val="00982D33"/>
    <w:rsid w:val="00985969"/>
    <w:rsid w:val="009F11B9"/>
    <w:rsid w:val="00A40FEA"/>
    <w:rsid w:val="00A45872"/>
    <w:rsid w:val="00AC2304"/>
    <w:rsid w:val="00AD095F"/>
    <w:rsid w:val="00AD489E"/>
    <w:rsid w:val="00AE3584"/>
    <w:rsid w:val="00B02006"/>
    <w:rsid w:val="00B12AF4"/>
    <w:rsid w:val="00B42E3B"/>
    <w:rsid w:val="00B52811"/>
    <w:rsid w:val="00B720A8"/>
    <w:rsid w:val="00B7736D"/>
    <w:rsid w:val="00B7766C"/>
    <w:rsid w:val="00B9106E"/>
    <w:rsid w:val="00BA4652"/>
    <w:rsid w:val="00BB0381"/>
    <w:rsid w:val="00BB32A0"/>
    <w:rsid w:val="00BB76B0"/>
    <w:rsid w:val="00BD0C61"/>
    <w:rsid w:val="00BD5FB0"/>
    <w:rsid w:val="00BF3010"/>
    <w:rsid w:val="00C00B22"/>
    <w:rsid w:val="00C569E5"/>
    <w:rsid w:val="00C6009D"/>
    <w:rsid w:val="00C645E8"/>
    <w:rsid w:val="00C7663F"/>
    <w:rsid w:val="00C76EB1"/>
    <w:rsid w:val="00C92264"/>
    <w:rsid w:val="00CA0AE4"/>
    <w:rsid w:val="00CF3EE3"/>
    <w:rsid w:val="00D05BE9"/>
    <w:rsid w:val="00D20682"/>
    <w:rsid w:val="00D22DE2"/>
    <w:rsid w:val="00D42811"/>
    <w:rsid w:val="00D83DD6"/>
    <w:rsid w:val="00DC695B"/>
    <w:rsid w:val="00DE122F"/>
    <w:rsid w:val="00E079A1"/>
    <w:rsid w:val="00E34011"/>
    <w:rsid w:val="00E47280"/>
    <w:rsid w:val="00E507B4"/>
    <w:rsid w:val="00E53804"/>
    <w:rsid w:val="00E6338A"/>
    <w:rsid w:val="00EA79A3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93521"/>
    <w:rsid w:val="00FA6585"/>
    <w:rsid w:val="00FD4E68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4C840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C76EB1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4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4B2"/>
    <w:rPr>
      <w:rFonts w:ascii="Century Gothic" w:eastAsia="Times New Roman" w:hAnsi="Century Gothic" w:cs="Arial"/>
      <w:color w:val="000000" w:themeColor="text1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ustizia.it/giustiz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vip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ob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9BEB-6701-6D42-B24F-661421D0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Roberta Piccinini</cp:lastModifiedBy>
  <cp:revision>3</cp:revision>
  <cp:lastPrinted>2022-05-10T11:50:00Z</cp:lastPrinted>
  <dcterms:created xsi:type="dcterms:W3CDTF">2024-10-10T08:58:00Z</dcterms:created>
  <dcterms:modified xsi:type="dcterms:W3CDTF">2024-10-10T09:02:00Z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a066435e-71ca-4bc4-a7dc-f971785de68b_Enabled">
    <vt:lpwstr>true</vt:lpwstr>
  </property>
  <property fmtid="{D5CDD505-2E9C-101B-9397-08002B2CF9AE}" pid="6" name="MSIP_Label_a066435e-71ca-4bc4-a7dc-f971785de68b_SetDate">
    <vt:lpwstr>2024-07-02T10:38:13Z</vt:lpwstr>
  </property>
  <property fmtid="{D5CDD505-2E9C-101B-9397-08002B2CF9AE}" pid="7" name="MSIP_Label_a066435e-71ca-4bc4-a7dc-f971785de68b_Method">
    <vt:lpwstr>Standard</vt:lpwstr>
  </property>
  <property fmtid="{D5CDD505-2E9C-101B-9397-08002B2CF9AE}" pid="8" name="MSIP_Label_a066435e-71ca-4bc4-a7dc-f971785de68b_Name">
    <vt:lpwstr>Interno - Classificazione</vt:lpwstr>
  </property>
  <property fmtid="{D5CDD505-2E9C-101B-9397-08002B2CF9AE}" pid="9" name="MSIP_Label_a066435e-71ca-4bc4-a7dc-f971785de68b_SiteId">
    <vt:lpwstr>0a369b84-3b57-42a1-b276-150c8c88a2ac</vt:lpwstr>
  </property>
  <property fmtid="{D5CDD505-2E9C-101B-9397-08002B2CF9AE}" pid="10" name="MSIP_Label_a066435e-71ca-4bc4-a7dc-f971785de68b_ActionId">
    <vt:lpwstr>8a2752a8-5d02-4285-bd38-30d332a9b7e6</vt:lpwstr>
  </property>
  <property fmtid="{D5CDD505-2E9C-101B-9397-08002B2CF9AE}" pid="11" name="MSIP_Label_a066435e-71ca-4bc4-a7dc-f971785de68b_ContentBits">
    <vt:lpwstr>1</vt:lpwstr>
  </property>
</Properties>
</file>